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1F5C1F" w:rsidP="001F5C1F" w:rsidRDefault="001F5C1F" w14:paraId="5D081BFA" w14:textId="77777777">
      <w:pPr>
        <w:pStyle w:val="SensirionSubtitle"/>
      </w:pPr>
    </w:p>
    <w:p w:rsidRPr="005B1B49" w:rsidR="001F5C1F" w:rsidP="001F5C1F" w:rsidRDefault="001F5C1F" w14:paraId="1B263218" w14:textId="4D1A0104">
      <w:pPr>
        <w:pStyle w:val="SensirionSubtitle"/>
        <w:rPr>
          <w:lang w:val="de-CH"/>
        </w:rPr>
      </w:pPr>
      <w:r w:rsidRPr="005B1B49">
        <w:rPr>
          <w:lang w:val="de-CH"/>
        </w:rPr>
        <w:t>Medi</w:t>
      </w:r>
      <w:r w:rsidR="00B367BE">
        <w:rPr>
          <w:lang w:val="de-CH"/>
        </w:rPr>
        <w:t>enmitteilung</w:t>
      </w:r>
    </w:p>
    <w:p w:rsidR="001F5C1F" w:rsidP="001F5C1F" w:rsidRDefault="001F5C1F" w14:paraId="235C8841" w14:textId="213DA2CB">
      <w:pPr>
        <w:pStyle w:val="SensirionSubtitle"/>
        <w:rPr>
          <w:lang w:val="de-CH"/>
        </w:rPr>
      </w:pPr>
      <w:r w:rsidRPr="15084040" w:rsidR="759DDA3C">
        <w:rPr>
          <w:lang w:val="de-CH"/>
        </w:rPr>
        <w:t>21.04.2026</w:t>
      </w:r>
      <w:r w:rsidRPr="15084040" w:rsidR="001F5C1F">
        <w:rPr>
          <w:lang w:val="de-CH"/>
        </w:rPr>
        <w:t>, Sensirion AG, 8712 Stäfa, Schweiz</w:t>
      </w:r>
    </w:p>
    <w:p w:rsidRPr="002519B2" w:rsidR="001F5C1F" w:rsidP="001F5C1F" w:rsidRDefault="001F5C1F" w14:paraId="2FE3EEAB" w14:textId="77777777">
      <w:pPr>
        <w:pStyle w:val="SensirionTitle"/>
        <w:pBdr>
          <w:top w:val="single" w:color="auto" w:sz="4" w:space="1"/>
        </w:pBdr>
        <w:rPr>
          <w:highlight w:val="yellow"/>
          <w:lang w:val="de-CH" w:eastAsia="de-DE"/>
        </w:rPr>
      </w:pPr>
    </w:p>
    <w:p w:rsidRPr="001F5C1F" w:rsidR="001F5C1F" w:rsidP="001F5C1F" w:rsidRDefault="001F5C1F" w14:paraId="5647F3C8" w14:textId="14AC41C0">
      <w:pPr>
        <w:pStyle w:val="SensirionTitle"/>
        <w:rPr>
          <w:lang w:val="de-CH" w:eastAsia="de-DE"/>
        </w:rPr>
      </w:pPr>
      <w:r w:rsidRPr="00754A16">
        <w:rPr>
          <w:lang w:val="de-CH" w:eastAsia="de-DE"/>
        </w:rPr>
        <w:t xml:space="preserve">Sensirion </w:t>
      </w:r>
      <w:r w:rsidRPr="00754A16" w:rsidR="00B367BE">
        <w:rPr>
          <w:lang w:val="de-CH" w:eastAsia="de-DE"/>
        </w:rPr>
        <w:t>kündigt</w:t>
      </w:r>
      <w:r w:rsidRPr="00754A16">
        <w:rPr>
          <w:lang w:val="de-CH" w:eastAsia="de-DE"/>
        </w:rPr>
        <w:t xml:space="preserve"> </w:t>
      </w:r>
      <w:r w:rsidRPr="00754A16" w:rsidR="00B367BE">
        <w:rPr>
          <w:lang w:val="de-CH" w:eastAsia="de-DE"/>
        </w:rPr>
        <w:t xml:space="preserve">weltweite </w:t>
      </w:r>
      <w:r w:rsidR="00754A16">
        <w:rPr>
          <w:lang w:val="de-CH" w:eastAsia="de-DE"/>
        </w:rPr>
        <w:t>Markteinführung des SEN</w:t>
      </w:r>
      <w:r w:rsidR="00EF48EC">
        <w:rPr>
          <w:lang w:val="de-CH" w:eastAsia="de-DE"/>
        </w:rPr>
        <w:t xml:space="preserve">62 an, einer </w:t>
      </w:r>
      <w:r w:rsidRPr="00DB64A7" w:rsidR="00EF48EC">
        <w:rPr>
          <w:lang w:val="de-CH" w:eastAsia="de-DE"/>
        </w:rPr>
        <w:t>kompakten</w:t>
      </w:r>
      <w:r w:rsidRPr="00DB64A7">
        <w:rPr>
          <w:lang w:val="de-CH" w:eastAsia="de-DE"/>
        </w:rPr>
        <w:t xml:space="preserve"> </w:t>
      </w:r>
      <w:r w:rsidRPr="00DB64A7" w:rsidR="00215E38">
        <w:rPr>
          <w:lang w:val="de-CH" w:eastAsia="de-DE"/>
        </w:rPr>
        <w:t>Plattform</w:t>
      </w:r>
      <w:r w:rsidRPr="00754A16" w:rsidR="00215E38">
        <w:rPr>
          <w:lang w:val="de-CH" w:eastAsia="de-DE"/>
        </w:rPr>
        <w:t xml:space="preserve"> zur Messung von Luftqualität</w:t>
      </w:r>
    </w:p>
    <w:p w:rsidRPr="001F5C1F" w:rsidR="001F5C1F" w:rsidP="001F5C1F" w:rsidRDefault="001F5C1F" w14:paraId="21601B72" w14:textId="77777777">
      <w:pPr>
        <w:rPr>
          <w:lang w:val="de-CH" w:eastAsia="de-DE"/>
        </w:rPr>
      </w:pPr>
    </w:p>
    <w:p w:rsidRPr="001F5C1F" w:rsidR="001F5C1F" w:rsidP="15084040" w:rsidRDefault="001F5C1F" w14:paraId="0DC3F7D9" w14:textId="1CB959B1">
      <w:pPr>
        <w:ind/>
        <w:jc w:val="both"/>
        <w:rPr>
          <w:b w:val="1"/>
          <w:bCs w:val="1"/>
          <w:lang w:val="de-CH" w:eastAsia="de-DE"/>
        </w:rPr>
      </w:pPr>
      <w:r w:rsidRPr="15084040" w:rsidR="001F5C1F">
        <w:rPr>
          <w:b w:val="1"/>
          <w:bCs w:val="1"/>
          <w:lang w:val="de-CH" w:eastAsia="de-DE"/>
        </w:rPr>
        <w:t>Sensirion freut sich, die Markteinführung des SEN62 bekannt zu geben</w:t>
      </w:r>
      <w:r w:rsidRPr="15084040" w:rsidR="00EF48EC">
        <w:rPr>
          <w:b w:val="1"/>
          <w:bCs w:val="1"/>
          <w:lang w:val="de-CH" w:eastAsia="de-DE"/>
        </w:rPr>
        <w:t>. Die kompakte</w:t>
      </w:r>
      <w:r w:rsidRPr="15084040" w:rsidR="00EF48EC">
        <w:rPr>
          <w:b w:val="1"/>
          <w:bCs w:val="1"/>
          <w:lang w:val="de-CH" w:eastAsia="de-DE"/>
        </w:rPr>
        <w:t xml:space="preserve"> </w:t>
      </w:r>
      <w:r w:rsidRPr="15084040" w:rsidR="002169D7">
        <w:rPr>
          <w:b w:val="1"/>
          <w:bCs w:val="1"/>
          <w:lang w:val="de-CH" w:eastAsia="de-DE"/>
        </w:rPr>
        <w:t>Plattform</w:t>
      </w:r>
      <w:r w:rsidRPr="15084040" w:rsidR="002169D7">
        <w:rPr>
          <w:b w:val="1"/>
          <w:bCs w:val="1"/>
          <w:lang w:val="de-CH" w:eastAsia="de-DE"/>
        </w:rPr>
        <w:t xml:space="preserve"> </w:t>
      </w:r>
      <w:r w:rsidRPr="15084040" w:rsidR="006002F2">
        <w:rPr>
          <w:b w:val="1"/>
          <w:bCs w:val="1"/>
          <w:lang w:val="de-CH" w:eastAsia="de-DE"/>
        </w:rPr>
        <w:t>misst</w:t>
      </w:r>
      <w:r w:rsidRPr="15084040" w:rsidR="001F5C1F">
        <w:rPr>
          <w:b w:val="1"/>
          <w:bCs w:val="1"/>
          <w:lang w:val="de-CH" w:eastAsia="de-DE"/>
        </w:rPr>
        <w:t xml:space="preserve"> wichtige Luftqualitätsparameter wie Feinstaub, Luftfeuchtigkeit und Temperatur. D</w:t>
      </w:r>
      <w:r w:rsidRPr="15084040" w:rsidR="001F5C1F">
        <w:rPr>
          <w:b w:val="1"/>
          <w:bCs w:val="1"/>
          <w:lang w:val="de-CH" w:eastAsia="de-DE"/>
        </w:rPr>
        <w:t>er</w:t>
      </w:r>
      <w:r w:rsidRPr="15084040" w:rsidR="001F5C1F">
        <w:rPr>
          <w:b w:val="1"/>
          <w:bCs w:val="1"/>
          <w:lang w:val="de-CH" w:eastAsia="de-DE"/>
        </w:rPr>
        <w:t xml:space="preserve"> SEN62 wurde für die einfache und kostengünstige Integration in eine Vielzahl von Geräten entwickelt</w:t>
      </w:r>
      <w:r w:rsidRPr="15084040" w:rsidR="006002F2">
        <w:rPr>
          <w:b w:val="1"/>
          <w:bCs w:val="1"/>
          <w:lang w:val="de-CH" w:eastAsia="de-DE"/>
        </w:rPr>
        <w:t>. Er</w:t>
      </w:r>
      <w:r w:rsidRPr="15084040" w:rsidR="001F5C1F">
        <w:rPr>
          <w:b w:val="1"/>
          <w:bCs w:val="1"/>
          <w:lang w:val="de-CH" w:eastAsia="de-DE"/>
        </w:rPr>
        <w:t xml:space="preserve"> ist ab sofort </w:t>
      </w:r>
      <w:r w:rsidRPr="15084040" w:rsidR="00B367BE">
        <w:rPr>
          <w:b w:val="1"/>
          <w:bCs w:val="1"/>
          <w:lang w:val="de-CH" w:eastAsia="de-DE"/>
        </w:rPr>
        <w:t xml:space="preserve">über </w:t>
      </w:r>
      <w:r w:rsidRPr="15084040" w:rsidR="00B367BE">
        <w:rPr>
          <w:b w:val="1"/>
          <w:bCs w:val="1"/>
          <w:lang w:val="de-CH" w:eastAsia="de-DE"/>
        </w:rPr>
        <w:t xml:space="preserve">das </w:t>
      </w:r>
      <w:r w:rsidRPr="15084040" w:rsidR="00B367BE">
        <w:rPr>
          <w:b w:val="1"/>
          <w:bCs w:val="1"/>
          <w:lang w:val="de-CH" w:eastAsia="de-DE"/>
        </w:rPr>
        <w:t>globale Netzwerk</w:t>
      </w:r>
      <w:r w:rsidRPr="15084040" w:rsidR="001F5C1F">
        <w:rPr>
          <w:b w:val="1"/>
          <w:bCs w:val="1"/>
          <w:lang w:val="de-CH" w:eastAsia="de-DE"/>
        </w:rPr>
        <w:t xml:space="preserve"> </w:t>
      </w:r>
      <w:r w:rsidRPr="15084040" w:rsidR="00B367BE">
        <w:rPr>
          <w:b w:val="1"/>
          <w:bCs w:val="1"/>
          <w:lang w:val="de-CH" w:eastAsia="de-DE"/>
        </w:rPr>
        <w:t>der autorisierten</w:t>
      </w:r>
      <w:r w:rsidRPr="15084040" w:rsidR="001F5C1F">
        <w:rPr>
          <w:b w:val="1"/>
          <w:bCs w:val="1"/>
          <w:lang w:val="de-CH" w:eastAsia="de-DE"/>
        </w:rPr>
        <w:t xml:space="preserve"> Vertriebspartner erhältlich.</w:t>
      </w:r>
    </w:p>
    <w:p w:rsidR="15084040" w:rsidP="15084040" w:rsidRDefault="15084040" w14:paraId="5CD8F49E" w14:textId="4F6741B5">
      <w:pPr>
        <w:ind w:left="0"/>
        <w:jc w:val="both"/>
        <w:rPr>
          <w:lang w:val="de-CH" w:eastAsia="de-DE"/>
        </w:rPr>
      </w:pPr>
    </w:p>
    <w:p w:rsidR="7ACD5D15" w:rsidP="15084040" w:rsidRDefault="7ACD5D15" w14:paraId="79683EE3" w14:textId="39E67BBB">
      <w:pPr>
        <w:pStyle w:val="Normal"/>
        <w:ind w:left="0"/>
        <w:jc w:val="both"/>
      </w:pPr>
      <w:r w:rsidR="7ACD5D15">
        <w:drawing>
          <wp:inline wp14:editId="7EEB6DB3" wp14:anchorId="09908EE4">
            <wp:extent cx="5762625" cy="3028950"/>
            <wp:effectExtent l="0" t="0" r="0" b="0"/>
            <wp:docPr id="10544393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54439364" name="Picture 1054439364"/>
                    <pic:cNvPicPr/>
                  </pic:nvPicPr>
                  <pic:blipFill>
                    <a:blip xmlns:r="http://schemas.openxmlformats.org/officeDocument/2006/relationships" r:embed="rId439108882">
                      <a:extLst>
                        <a:ext uri="{28A0092B-C50C-407E-A947-70E740481C1C}">
                          <a14:useLocalDpi xmlns:a14="http://schemas.microsoft.com/office/drawing/2010/main"/>
                        </a:ext>
                      </a:extLst>
                    </a:blip>
                    <a:stretch>
                      <a:fillRect/>
                    </a:stretch>
                  </pic:blipFill>
                  <pic:spPr>
                    <a:xfrm>
                      <a:off x="0" y="0"/>
                      <a:ext cx="5762625" cy="3028950"/>
                    </a:xfrm>
                    <a:prstGeom prst="rect">
                      <a:avLst/>
                    </a:prstGeom>
                  </pic:spPr>
                </pic:pic>
              </a:graphicData>
            </a:graphic>
          </wp:inline>
        </w:drawing>
      </w:r>
    </w:p>
    <w:p w:rsidR="15084040" w:rsidP="15084040" w:rsidRDefault="15084040" w14:paraId="26A26893" w14:textId="31B183FD">
      <w:pPr>
        <w:pStyle w:val="Normal"/>
        <w:ind w:left="0"/>
        <w:jc w:val="both"/>
        <w:rPr>
          <w:lang w:val="de-CH" w:eastAsia="de-DE"/>
        </w:rPr>
      </w:pPr>
    </w:p>
    <w:p w:rsidRPr="00792905" w:rsidR="00792905" w:rsidP="15084040" w:rsidRDefault="001F5C1F" w14:paraId="10A3D241" w14:textId="19003346">
      <w:pPr>
        <w:ind w:left="0"/>
        <w:jc w:val="both"/>
      </w:pPr>
      <w:r w:rsidRPr="15084040" w:rsidR="00792905">
        <w:rPr>
          <w:lang w:val="de-CH"/>
        </w:rPr>
        <w:t xml:space="preserve">Als Teil der SEN6x-Familie bietet der SEN62 eine benutzerfreundliche Lösung zur Überwachung von Feinstaub (PM), Luftfeuchtigkeit und Temperatur (RH/T). Seine </w:t>
      </w:r>
      <w:r w:rsidRPr="15084040" w:rsidR="006002F2">
        <w:rPr>
          <w:lang w:val="de-CH"/>
        </w:rPr>
        <w:t>werk</w:t>
      </w:r>
      <w:r w:rsidRPr="15084040" w:rsidR="006002F2">
        <w:rPr>
          <w:lang w:val="de-CH"/>
        </w:rPr>
        <w:t>sseitig</w:t>
      </w:r>
      <w:r w:rsidRPr="15084040" w:rsidR="006002F2">
        <w:rPr>
          <w:lang w:val="de-CH"/>
        </w:rPr>
        <w:t xml:space="preserve"> </w:t>
      </w:r>
      <w:r w:rsidRPr="15084040" w:rsidR="00792905">
        <w:rPr>
          <w:lang w:val="de-CH"/>
        </w:rPr>
        <w:t>kalibrierte Ausgangsleistung und die einsatzbereiten Algorithmen reduzieren den technischen Aufwand erheblich</w:t>
      </w:r>
      <w:r w:rsidRPr="15084040" w:rsidR="006002F2">
        <w:rPr>
          <w:lang w:val="de-CH"/>
        </w:rPr>
        <w:t xml:space="preserve">, </w:t>
      </w:r>
      <w:r w:rsidRPr="15084040" w:rsidR="006002F2">
        <w:rPr>
          <w:lang w:val="de-CH"/>
        </w:rPr>
        <w:t>verkürzen die Markteinführungszeit</w:t>
      </w:r>
      <w:r w:rsidRPr="15084040" w:rsidR="006002F2">
        <w:rPr>
          <w:lang w:val="de-CH"/>
        </w:rPr>
        <w:t xml:space="preserve"> und senken die Kosten</w:t>
      </w:r>
      <w:r w:rsidRPr="15084040" w:rsidR="00792905">
        <w:rPr>
          <w:lang w:val="de-CH"/>
        </w:rPr>
        <w:t>. Die integrierten Algorithmen übernehmen die Datenverarbeitung, sodass sich Gerätehersteller auf die Produktentwicklung, das Anwendungsdesign und die Benutzererfahrung konzentrieren können</w:t>
      </w:r>
      <w:r w:rsidRPr="15084040" w:rsidR="006002F2">
        <w:rPr>
          <w:lang w:val="de-CH"/>
        </w:rPr>
        <w:t xml:space="preserve">. Die Kalibrierung oder </w:t>
      </w:r>
      <w:r w:rsidRPr="15084040" w:rsidR="00792905">
        <w:rPr>
          <w:lang w:val="de-CH"/>
        </w:rPr>
        <w:t xml:space="preserve">komplexe Optimierungsschritte </w:t>
      </w:r>
      <w:r w:rsidRPr="15084040" w:rsidR="006002F2">
        <w:rPr>
          <w:lang w:val="de-CH"/>
        </w:rPr>
        <w:t>entfallen</w:t>
      </w:r>
      <w:r w:rsidRPr="15084040" w:rsidR="00792905">
        <w:rPr>
          <w:lang w:val="de-CH"/>
        </w:rPr>
        <w:t>.</w:t>
      </w:r>
    </w:p>
    <w:p w:rsidRPr="00792905" w:rsidR="00792905" w:rsidP="15084040" w:rsidRDefault="001F5C1F" w14:paraId="794F89DD" w14:textId="5B6FD7E1">
      <w:pPr>
        <w:ind w:left="0"/>
        <w:jc w:val="both"/>
        <w:rPr>
          <w:lang w:val="de-CH"/>
        </w:rPr>
      </w:pPr>
      <w:r>
        <w:br/>
      </w:r>
      <w:r w:rsidRPr="15084040" w:rsidR="00792905">
        <w:rPr>
          <w:lang w:val="de-CH"/>
        </w:rPr>
        <w:t>Zu den typischen Anwendungsbereichen des SEN62 zählen Luftreiniger, HLK-Anlagen, Smart-Home-Geräte und Luftqualitätsmessgeräte, die eine zuverlässige und kompakte Umgebungserfassung erfordern. Diese Anwendungsfälle profitieren insbesondere von der Fähigkeit des SEN62, die Kompatibilität mit Gebäudestandards wie RESET® und dem WELL Building Standard™ zu gewährleisten</w:t>
      </w:r>
      <w:r w:rsidRPr="15084040" w:rsidR="00191908">
        <w:rPr>
          <w:lang w:val="de-CH"/>
        </w:rPr>
        <w:t xml:space="preserve">. Deshalb eignet er sich </w:t>
      </w:r>
      <w:r w:rsidRPr="15084040" w:rsidR="00792905">
        <w:rPr>
          <w:lang w:val="de-CH"/>
        </w:rPr>
        <w:t>hervorragend für Anwendungen, bei denen eine zertifizierte Leistung hinsichtlich der Raumluftqualität von entscheidender Bedeutung ist.</w:t>
      </w:r>
    </w:p>
    <w:p w:rsidRPr="00792905" w:rsidR="001F5C1F" w:rsidP="001F5C1F" w:rsidRDefault="00792905" w14:paraId="7B68DD31" w14:textId="275482A1">
      <w:pPr>
        <w:spacing w:before="210" w:after="210" w:line="300" w:lineRule="auto"/>
        <w:jc w:val="both"/>
        <w:rPr>
          <w:lang w:val="de-CH"/>
        </w:rPr>
      </w:pPr>
      <w:r w:rsidRPr="00792905">
        <w:rPr>
          <w:lang w:val="de-CH"/>
        </w:rPr>
        <w:t>Eine Schlüsselkomponente der SEN6x-Plattform ist der SPS6x von Sensirion, ein miniaturisierter MEMS-basierter PM-Sensor. Als Grundlage für die PM-Messfunktion des Moduls bietet er zuverlässige Leistung in kompakter Bauform und macht das integrierte Design der SEN6x-Plattform sowohl effizient als auch hochgradig skalierbar</w:t>
      </w:r>
      <w:r w:rsidRPr="00792905" w:rsidR="001F5C1F">
        <w:rPr>
          <w:lang w:val="de-CH"/>
        </w:rPr>
        <w:t>.</w:t>
      </w:r>
    </w:p>
    <w:p w:rsidR="00792905" w:rsidP="001F5C1F" w:rsidRDefault="00792905" w14:paraId="4F151526" w14:textId="36BAB49A">
      <w:pPr>
        <w:jc w:val="both"/>
        <w:rPr>
          <w:lang w:val="de-CH"/>
        </w:rPr>
      </w:pPr>
      <w:r w:rsidRPr="00792905">
        <w:rPr>
          <w:lang w:val="de-CH"/>
        </w:rPr>
        <w:t>„Der SEN62 ist das Einstiegsmodell unserer SEN6x-Plattform und eine kompakte und äu</w:t>
      </w:r>
      <w:r w:rsidR="00995276">
        <w:rPr>
          <w:lang w:val="de-CH"/>
        </w:rPr>
        <w:t>ss</w:t>
      </w:r>
      <w:r w:rsidRPr="00792905">
        <w:rPr>
          <w:lang w:val="de-CH"/>
        </w:rPr>
        <w:t>erst zuverlässige Lösung für die Messung von PM sowie RH/T. Dank seiner einfachen Integration und der sofort einsatzbereiten Ausgabedaten trägt er dazu bei, die Produktentwicklung zu beschleunigen und Unternehmen bei der Bereitstellung leistungsstarker Lösungen für die Luftqualitätsmessung zu unterstützen“, sagt David Carminati, Produktmanager für Feinstaubsensoren und Umweltmessknoten bei Sensirion.</w:t>
      </w:r>
    </w:p>
    <w:p w:rsidR="00792905" w:rsidP="001F5C1F" w:rsidRDefault="00792905" w14:paraId="14E172F1" w14:textId="77777777">
      <w:pPr>
        <w:jc w:val="both"/>
        <w:rPr>
          <w:lang w:val="de-CH"/>
        </w:rPr>
      </w:pPr>
    </w:p>
    <w:p w:rsidR="001F5C1F" w:rsidP="00B367BE" w:rsidRDefault="001F5C1F" w14:paraId="66394DC5" w14:textId="5F32AB41">
      <w:pPr>
        <w:jc w:val="both"/>
        <w:rPr>
          <w:lang w:val="de-CH"/>
        </w:rPr>
      </w:pPr>
      <w:r w:rsidRPr="00B4734E">
        <w:rPr>
          <w:lang w:val="de-CH"/>
        </w:rPr>
        <w:t>F</w:t>
      </w:r>
      <w:r w:rsidRPr="00B4734E" w:rsidR="00B4734E">
        <w:rPr>
          <w:lang w:val="de-CH"/>
        </w:rPr>
        <w:t xml:space="preserve">ür weitere Informationen </w:t>
      </w:r>
      <w:r w:rsidR="00191908">
        <w:rPr>
          <w:lang w:val="de-CH"/>
        </w:rPr>
        <w:t xml:space="preserve">zum </w:t>
      </w:r>
      <w:r w:rsidRPr="00B4734E" w:rsidR="00191908">
        <w:rPr>
          <w:lang w:val="de-CH"/>
        </w:rPr>
        <w:t xml:space="preserve">SEN62 </w:t>
      </w:r>
      <w:r w:rsidR="00191908">
        <w:rPr>
          <w:lang w:val="de-CH"/>
        </w:rPr>
        <w:t xml:space="preserve">und Bestellungen </w:t>
      </w:r>
      <w:r w:rsidRPr="00B4734E" w:rsidR="00B4734E">
        <w:rPr>
          <w:lang w:val="de-CH"/>
        </w:rPr>
        <w:t>besuchen</w:t>
      </w:r>
      <w:r w:rsidR="00B4734E">
        <w:rPr>
          <w:lang w:val="de-CH"/>
        </w:rPr>
        <w:t xml:space="preserve"> Sie bitte </w:t>
      </w:r>
      <w:r w:rsidR="00A45479">
        <w:rPr>
          <w:lang w:val="de-CH"/>
        </w:rPr>
        <w:t xml:space="preserve">unsere </w:t>
      </w:r>
      <w:hyperlink w:history="1" r:id="rId9">
        <w:r w:rsidRPr="00B4734E" w:rsidR="00B4734E">
          <w:rPr>
            <w:rStyle w:val="Hyperlink"/>
            <w:lang w:val="de-CH"/>
          </w:rPr>
          <w:t>Website</w:t>
        </w:r>
      </w:hyperlink>
      <w:r w:rsidRPr="00B4734E">
        <w:rPr>
          <w:lang w:val="de-CH"/>
        </w:rPr>
        <w:t xml:space="preserve"> </w:t>
      </w:r>
      <w:r w:rsidRPr="00B4734E" w:rsidR="00B4734E">
        <w:rPr>
          <w:lang w:val="de-CH"/>
        </w:rPr>
        <w:t xml:space="preserve">oder wenden Sie sich an </w:t>
      </w:r>
      <w:r w:rsidR="00A45479">
        <w:rPr>
          <w:lang w:val="de-CH"/>
        </w:rPr>
        <w:t>I</w:t>
      </w:r>
      <w:r w:rsidRPr="00B4734E" w:rsidR="00A45479">
        <w:rPr>
          <w:lang w:val="de-CH"/>
        </w:rPr>
        <w:t xml:space="preserve">hren </w:t>
      </w:r>
      <w:r w:rsidR="00B367BE">
        <w:rPr>
          <w:lang w:val="de-CH"/>
        </w:rPr>
        <w:t xml:space="preserve">lokalen </w:t>
      </w:r>
      <w:hyperlink w:history="1" r:id="rId10">
        <w:r w:rsidRPr="00B367BE" w:rsidR="00B4734E">
          <w:rPr>
            <w:rStyle w:val="Hyperlink"/>
            <w:lang w:val="de-CH"/>
          </w:rPr>
          <w:t>Sensirion-Vertriebspartner</w:t>
        </w:r>
      </w:hyperlink>
      <w:r w:rsidR="00B367BE">
        <w:rPr>
          <w:lang w:val="de-CH"/>
        </w:rPr>
        <w:t>.</w:t>
      </w:r>
    </w:p>
    <w:p w:rsidRPr="00B4734E" w:rsidR="00B367BE" w:rsidP="00B367BE" w:rsidRDefault="00B367BE" w14:paraId="16755482" w14:textId="77777777">
      <w:pPr>
        <w:jc w:val="both"/>
        <w:rPr>
          <w:lang w:val="de-CH"/>
        </w:rPr>
      </w:pPr>
    </w:p>
    <w:p w:rsidRPr="00B4734E" w:rsidR="001F5C1F" w:rsidP="15084040" w:rsidRDefault="001F5C1F" w14:paraId="4A94CB58" w14:textId="0AC61949">
      <w:pPr>
        <w:pStyle w:val="Normal"/>
        <w:pBdr>
          <w:bottom w:val="single" w:color="FF000000" w:sz="6" w:space="1"/>
        </w:pBdr>
        <w:rPr>
          <w:lang w:val="de-CH" w:eastAsia="de-DE"/>
        </w:rPr>
      </w:pPr>
    </w:p>
    <w:p w:rsidRPr="00B367BE" w:rsidR="001F5C1F" w:rsidP="00B4734E" w:rsidRDefault="001F5C1F" w14:paraId="4949CAE8" w14:textId="77777777">
      <w:pPr>
        <w:pStyle w:val="SensirionSubtitle"/>
        <w:rPr>
          <w:lang w:val="de-CH"/>
        </w:rPr>
      </w:pPr>
    </w:p>
    <w:p w:rsidRPr="00215E38" w:rsidR="00B4734E" w:rsidP="00B4734E" w:rsidRDefault="00B4734E" w14:paraId="0E3EF2E6" w14:textId="77777777">
      <w:pPr>
        <w:pStyle w:val="SensirionSubtitle"/>
        <w:rPr>
          <w:lang w:val="de-CH"/>
        </w:rPr>
      </w:pPr>
      <w:r w:rsidRPr="00215E38">
        <w:rPr>
          <w:lang w:val="de-CH"/>
        </w:rPr>
        <w:t>Über Sensirion – </w:t>
      </w:r>
      <w:proofErr w:type="spellStart"/>
      <w:r w:rsidRPr="00215E38">
        <w:rPr>
          <w:lang w:val="de-CH"/>
        </w:rPr>
        <w:t>Experts</w:t>
      </w:r>
      <w:proofErr w:type="spellEnd"/>
      <w:r w:rsidRPr="00215E38">
        <w:rPr>
          <w:lang w:val="de-CH"/>
        </w:rPr>
        <w:t> </w:t>
      </w:r>
      <w:proofErr w:type="spellStart"/>
      <w:r w:rsidRPr="00215E38">
        <w:rPr>
          <w:lang w:val="de-CH"/>
        </w:rPr>
        <w:t>for</w:t>
      </w:r>
      <w:proofErr w:type="spellEnd"/>
      <w:r w:rsidRPr="00215E38">
        <w:rPr>
          <w:lang w:val="de-CH"/>
        </w:rPr>
        <w:t> smart </w:t>
      </w:r>
      <w:proofErr w:type="spellStart"/>
      <w:r w:rsidRPr="00215E38">
        <w:rPr>
          <w:lang w:val="de-CH"/>
        </w:rPr>
        <w:t>sensor</w:t>
      </w:r>
      <w:proofErr w:type="spellEnd"/>
      <w:r w:rsidRPr="00215E38">
        <w:rPr>
          <w:lang w:val="de-CH"/>
        </w:rPr>
        <w:t> </w:t>
      </w:r>
      <w:proofErr w:type="spellStart"/>
      <w:r w:rsidRPr="00215E38">
        <w:rPr>
          <w:lang w:val="de-CH"/>
        </w:rPr>
        <w:t>solutions</w:t>
      </w:r>
      <w:proofErr w:type="spellEnd"/>
      <w:r w:rsidRPr="00215E38">
        <w:rPr>
          <w:lang w:val="de-CH"/>
        </w:rPr>
        <w:t> </w:t>
      </w:r>
    </w:p>
    <w:p w:rsidRPr="00B4734E" w:rsidR="001F5C1F" w:rsidP="00B4734E" w:rsidRDefault="00B4734E" w14:paraId="47289F57" w14:textId="0B0EB76F">
      <w:pPr>
        <w:pStyle w:val="SensirionSubtitle"/>
        <w:rPr>
          <w:rFonts w:ascii="Segoe UI" w:hAnsi="Segoe UI" w:eastAsia="Segoe UI" w:cs="Segoe UI"/>
          <w:color w:val="000000" w:themeColor="text1"/>
          <w:lang w:val="de-CH"/>
        </w:rPr>
      </w:pPr>
      <w:r w:rsidRPr="00B4734E">
        <w:rPr>
          <w:rFonts w:ascii="Segoe UI" w:hAnsi="Segoe UI" w:eastAsia="Segoe UI" w:cs="Segoe UI"/>
          <w:color w:val="000000" w:themeColor="text1"/>
          <w:lang w:val="de-CH"/>
        </w:rPr>
        <w:t xml:space="preserve">Sensirion ist einer der weltweit führenden Entwickler und Hersteller von Sensoren und Sensorlösungen, die für mehr Effizienz, Gesundheit, Sicherheit und Komfort sorgen. 1998 gegründet, beschäftigt Sensirion heute am Hauptsitz in Stäfa (Schweiz) sowie </w:t>
      </w:r>
      <w:r w:rsidR="00A45479">
        <w:rPr>
          <w:rFonts w:ascii="Segoe UI" w:hAnsi="Segoe UI" w:eastAsia="Segoe UI" w:cs="Segoe UI"/>
          <w:color w:val="000000" w:themeColor="text1"/>
          <w:lang w:val="de-CH"/>
        </w:rPr>
        <w:t xml:space="preserve">international </w:t>
      </w:r>
      <w:r w:rsidRPr="00B4734E">
        <w:rPr>
          <w:rFonts w:ascii="Segoe UI" w:hAnsi="Segoe UI" w:eastAsia="Segoe UI" w:cs="Segoe UI"/>
          <w:color w:val="000000" w:themeColor="text1"/>
          <w:lang w:val="de-CH"/>
        </w:rPr>
        <w:t xml:space="preserve">in zahlreichen Niederlassungen </w:t>
      </w:r>
      <w:r w:rsidR="00A45479">
        <w:rPr>
          <w:rFonts w:ascii="Segoe UI" w:hAnsi="Segoe UI" w:eastAsia="Segoe UI" w:cs="Segoe UI"/>
          <w:color w:val="000000" w:themeColor="text1"/>
          <w:lang w:val="de-CH"/>
        </w:rPr>
        <w:t xml:space="preserve">weltweit </w:t>
      </w:r>
      <w:r w:rsidRPr="00B4734E">
        <w:rPr>
          <w:rFonts w:ascii="Segoe UI" w:hAnsi="Segoe UI" w:eastAsia="Segoe UI" w:cs="Segoe UI"/>
          <w:color w:val="000000" w:themeColor="text1"/>
          <w:lang w:val="de-CH"/>
        </w:rPr>
        <w:t xml:space="preserve">rund 1’000 </w:t>
      </w:r>
      <w:r w:rsidR="00B46CDC">
        <w:rPr>
          <w:rFonts w:ascii="Segoe UI" w:hAnsi="Segoe UI" w:eastAsia="Segoe UI" w:cs="Segoe UI"/>
          <w:color w:val="000000" w:themeColor="text1"/>
          <w:lang w:val="de-CH"/>
        </w:rPr>
        <w:t>Mitarbeiter/-innen</w:t>
      </w:r>
      <w:r w:rsidRPr="00B4734E">
        <w:rPr>
          <w:rFonts w:ascii="Segoe UI" w:hAnsi="Segoe UI" w:eastAsia="Segoe UI" w:cs="Segoe UI"/>
          <w:color w:val="000000" w:themeColor="text1"/>
          <w:lang w:val="de-CH"/>
        </w:rPr>
        <w:t>.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w:t>
      </w:r>
      <w:r>
        <w:rPr>
          <w:rFonts w:ascii="Segoe UI" w:hAnsi="Segoe UI" w:eastAsia="Segoe UI" w:cs="Segoe UI"/>
          <w:color w:val="000000" w:themeColor="text1"/>
          <w:lang w:val="de-CH"/>
        </w:rPr>
        <w:t xml:space="preserve"> </w:t>
      </w:r>
      <w:hyperlink w:history="1" r:id="rId11">
        <w:r w:rsidRPr="00D3245E">
          <w:rPr>
            <w:rStyle w:val="Hyperlink"/>
            <w:rFonts w:ascii="Segoe UI" w:hAnsi="Segoe UI" w:eastAsia="Segoe UI" w:cs="Segoe UI"/>
            <w:lang w:val="de-CH"/>
          </w:rPr>
          <w:t>www.sensirion.com</w:t>
        </w:r>
      </w:hyperlink>
      <w:r w:rsidRPr="00B4734E" w:rsidR="001F5C1F">
        <w:rPr>
          <w:rFonts w:ascii="Segoe UI" w:hAnsi="Segoe UI" w:eastAsia="Segoe UI" w:cs="Segoe UI"/>
          <w:color w:val="000000" w:themeColor="text1"/>
          <w:lang w:val="de-CH"/>
        </w:rPr>
        <w:t>.</w:t>
      </w:r>
    </w:p>
    <w:p w:rsidRPr="00B4734E" w:rsidR="001F5C1F" w:rsidP="001F5C1F" w:rsidRDefault="001F5C1F" w14:paraId="7C75A551" w14:textId="77777777">
      <w:pPr>
        <w:rPr>
          <w:lang w:val="de-CH"/>
        </w:rPr>
      </w:pPr>
    </w:p>
    <w:p w:rsidRPr="00B4734E" w:rsidR="00986756" w:rsidP="00986756" w:rsidRDefault="00986756" w14:paraId="6373F0D0" w14:textId="77777777">
      <w:pPr>
        <w:rPr>
          <w:lang w:val="de-CH" w:eastAsia="de-DE"/>
        </w:rPr>
      </w:pPr>
    </w:p>
    <w:sectPr w:rsidRPr="00B4734E" w:rsidR="00986756" w:rsidSect="00C5040D">
      <w:headerReference w:type="default" r:id="rId12"/>
      <w:footerReference w:type="default" r:id="rId13"/>
      <w:headerReference w:type="first" r:id="rId14"/>
      <w:footerReference w:type="first" r:id="rId15"/>
      <w:type w:val="continuous"/>
      <w:pgSz w:w="11906" w:h="16838" w:orient="portrait"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3280" w:rsidP="0054380F" w:rsidRDefault="00293280" w14:paraId="791B3C85" w14:textId="77777777">
      <w:pPr>
        <w:spacing w:line="240" w:lineRule="auto"/>
      </w:pPr>
      <w:r>
        <w:separator/>
      </w:r>
    </w:p>
  </w:endnote>
  <w:endnote w:type="continuationSeparator" w:id="0">
    <w:p w:rsidR="00293280" w:rsidP="0054380F" w:rsidRDefault="00293280" w14:paraId="4C227434"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altName w:val="Arial"/>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2AC0" w:rsidR="00D44150" w:rsidP="000B2869" w:rsidRDefault="00D91EAB" w14:paraId="61C14E82" w14:textId="77777777">
    <w:pPr>
      <w:pStyle w:val="Footer"/>
    </w:pPr>
    <w:r w:rsidRPr="00372AC0">
      <w:rPr>
        <w:noProof/>
      </w:rPr>
      <w:t>© Copyright Sensirion AG</w:t>
    </w:r>
    <w:r w:rsidRPr="00372AC0">
      <w:tab/>
    </w:r>
    <w:r w:rsidRPr="00372AC0" w:rsidR="00B730FE">
      <w:fldChar w:fldCharType="begin"/>
    </w:r>
    <w:r w:rsidRPr="00372AC0">
      <w:instrText xml:space="preserve"> PAGE </w:instrText>
    </w:r>
    <w:r w:rsidRPr="00372AC0" w:rsidR="00B730FE">
      <w:fldChar w:fldCharType="separate"/>
    </w:r>
    <w:r w:rsidRPr="00372AC0" w:rsidR="00A5624A">
      <w:t>1</w:t>
    </w:r>
    <w:r w:rsidRPr="00372AC0" w:rsidR="00B730FE">
      <w:fldChar w:fldCharType="end"/>
    </w:r>
    <w:r w:rsidRPr="00372AC0">
      <w:t>/</w:t>
    </w:r>
    <w:r w:rsidRPr="00372AC0" w:rsidR="00B730FE">
      <w:fldChar w:fldCharType="begin"/>
    </w:r>
    <w:r w:rsidRPr="00372AC0">
      <w:instrText xml:space="preserve"> NUMPAGES </w:instrText>
    </w:r>
    <w:r w:rsidRPr="00372AC0" w:rsidR="00B730FE">
      <w:fldChar w:fldCharType="separate"/>
    </w:r>
    <w:r w:rsidRPr="00372AC0" w:rsidR="00A5624A">
      <w:t>1</w:t>
    </w:r>
    <w:r w:rsidRPr="00372AC0" w:rsidR="00B730F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4150" w:rsidRDefault="00D44150" w14:paraId="4D05A0C2" w14:textId="77777777">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r>
      <w:fldChar w:fldCharType="begin"/>
    </w:r>
    <w:r>
      <w:instrText> NUMPAGES   \* MERGEFORMAT </w:instrText>
    </w:r>
    <w:r>
      <w:fldChar w:fldCharType="separate"/>
    </w:r>
    <w:r w:rsidR="001156D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3280" w:rsidP="0054380F" w:rsidRDefault="00293280" w14:paraId="27C781EF" w14:textId="77777777">
      <w:pPr>
        <w:spacing w:line="240" w:lineRule="auto"/>
      </w:pPr>
      <w:r>
        <w:separator/>
      </w:r>
    </w:p>
  </w:footnote>
  <w:footnote w:type="continuationSeparator" w:id="0">
    <w:p w:rsidR="00293280" w:rsidP="0054380F" w:rsidRDefault="00293280" w14:paraId="761762C9"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661641" w14:paraId="06C66303" w14:textId="77777777">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EE0CB5" w14:paraId="6FA5505B" w14:textId="77777777">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hint="default" w:ascii="Symbol" w:hAnsi="Symbol"/>
      </w:rPr>
    </w:lvl>
    <w:lvl w:ilvl="1">
      <w:start w:val="1"/>
      <w:numFmt w:val="bullet"/>
      <w:pStyle w:val="BulletpointsEbene2"/>
      <w:lvlText w:val=""/>
      <w:lvlJc w:val="left"/>
      <w:pPr>
        <w:tabs>
          <w:tab w:val="num" w:pos="907"/>
        </w:tabs>
        <w:ind w:left="907" w:hanging="453"/>
      </w:pPr>
      <w:rPr>
        <w:rFonts w:hint="default" w:ascii="Symbol" w:hAnsi="Symbol"/>
      </w:rPr>
    </w:lvl>
    <w:lvl w:ilvl="2">
      <w:start w:val="1"/>
      <w:numFmt w:val="bullet"/>
      <w:lvlText w:val=""/>
      <w:lvlJc w:val="left"/>
      <w:pPr>
        <w:tabs>
          <w:tab w:val="num" w:pos="1361"/>
        </w:tabs>
        <w:ind w:left="1361" w:hanging="454"/>
      </w:pPr>
      <w:rPr>
        <w:rFonts w:hint="default" w:ascii="Symbol" w:hAnsi="Symbol"/>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hint="default" w:ascii="Wingdings" w:hAnsi="Wingdings"/>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hint="default" w:ascii="Wingdings" w:hAnsi="Wingdings"/>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hint="default" w:ascii="Wingdings" w:hAnsi="Wingdings"/>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hint="default" w:ascii="Wingdings" w:hAnsi="Wingdings"/>
      </w:rPr>
    </w:lvl>
    <w:lvl w:ilvl="1">
      <w:start w:val="1"/>
      <w:numFmt w:val="bullet"/>
      <w:lvlText w:val=""/>
      <w:lvlJc w:val="left"/>
      <w:pPr>
        <w:tabs>
          <w:tab w:val="num" w:pos="680"/>
        </w:tabs>
        <w:ind w:left="680" w:hanging="226"/>
      </w:pPr>
      <w:rPr>
        <w:rFonts w:hint="default" w:ascii="Wingdings" w:hAnsi="Wingdings"/>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hint="default" w:ascii="Arial Narrow" w:hAnsi="Arial Narrow"/>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Wingdings" w:hAnsi="Wingdings"/>
      </w:rPr>
    </w:lvl>
    <w:lvl w:ilvl="4">
      <w:start w:val="1"/>
      <w:numFmt w:val="bullet"/>
      <w:lvlText w:val=""/>
      <w:lvlJc w:val="left"/>
      <w:pPr>
        <w:ind w:left="1800" w:hanging="360"/>
      </w:pPr>
      <w:rPr>
        <w:rFonts w:hint="default" w:ascii="Wingdings" w:hAnsi="Wingdings"/>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Wingdings" w:hAnsi="Wingdings"/>
      </w:rPr>
    </w:lvl>
    <w:lvl w:ilvl="8">
      <w:start w:val="1"/>
      <w:numFmt w:val="bullet"/>
      <w:lvlText w:val=""/>
      <w:lvlJc w:val="left"/>
      <w:pPr>
        <w:ind w:left="3240" w:hanging="360"/>
      </w:pPr>
      <w:rPr>
        <w:rFonts w:hint="default" w:ascii="Wingdings" w:hAnsi="Wingdings"/>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hint="default" w:ascii="Symbol" w:hAnsi="Symbol"/>
      </w:rPr>
    </w:lvl>
    <w:lvl w:ilvl="1">
      <w:start w:val="1"/>
      <w:numFmt w:val="bullet"/>
      <w:pStyle w:val="BulletpointsLevel2"/>
      <w:lvlText w:val=""/>
      <w:lvlJc w:val="left"/>
      <w:pPr>
        <w:ind w:left="454" w:hanging="227"/>
      </w:pPr>
      <w:rPr>
        <w:rFonts w:hint="default" w:ascii="Symbol" w:hAnsi="Symbol"/>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hint="default" w:ascii="Symbol" w:hAnsi="Symbol"/>
      </w:rPr>
    </w:lvl>
    <w:lvl w:ilvl="4">
      <w:start w:val="1"/>
      <w:numFmt w:val="bullet"/>
      <w:pStyle w:val="ListBullet2"/>
      <w:lvlText w:val=""/>
      <w:lvlJc w:val="left"/>
      <w:pPr>
        <w:ind w:left="454" w:hanging="227"/>
      </w:pPr>
      <w:rPr>
        <w:rFonts w:hint="default" w:ascii="Symbol" w:hAnsi="Symbol"/>
      </w:rPr>
    </w:lvl>
    <w:lvl w:ilvl="5">
      <w:start w:val="1"/>
      <w:numFmt w:val="bullet"/>
      <w:pStyle w:val="ListBullet3"/>
      <w:lvlText w:val=""/>
      <w:lvlJc w:val="left"/>
      <w:pPr>
        <w:ind w:left="680" w:hanging="226"/>
      </w:pPr>
      <w:rPr>
        <w:rFonts w:hint="default" w:ascii="Symbol" w:hAnsi="Symbol"/>
      </w:rPr>
    </w:lvl>
    <w:lvl w:ilvl="6">
      <w:start w:val="1"/>
      <w:numFmt w:val="bullet"/>
      <w:pStyle w:val="ListBullet4"/>
      <w:lvlText w:val=""/>
      <w:lvlJc w:val="left"/>
      <w:pPr>
        <w:ind w:left="907" w:hanging="227"/>
      </w:pPr>
      <w:rPr>
        <w:rFonts w:hint="default" w:ascii="Symbol" w:hAnsi="Symbol"/>
      </w:rPr>
    </w:lvl>
    <w:lvl w:ilvl="7">
      <w:start w:val="1"/>
      <w:numFmt w:val="bullet"/>
      <w:pStyle w:val="ListBullet5"/>
      <w:lvlText w:val=""/>
      <w:lvlJc w:val="left"/>
      <w:pPr>
        <w:ind w:left="1134" w:hanging="227"/>
      </w:pPr>
      <w:rPr>
        <w:rFonts w:hint="default" w:ascii="Symbol" w:hAnsi="Symbol"/>
      </w:rPr>
    </w:lvl>
    <w:lvl w:ilvl="8">
      <w:start w:val="1"/>
      <w:numFmt w:val="bullet"/>
      <w:lvlText w:val=""/>
      <w:lvlJc w:val="left"/>
      <w:pPr>
        <w:ind w:left="1361" w:hanging="227"/>
      </w:pPr>
      <w:rPr>
        <w:rFonts w:hint="default" w:ascii="Symbol" w:hAnsi="Symbol"/>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1F"/>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91908"/>
    <w:rsid w:val="001B29A6"/>
    <w:rsid w:val="001E1FA7"/>
    <w:rsid w:val="001E282A"/>
    <w:rsid w:val="001E6D3A"/>
    <w:rsid w:val="001F36A4"/>
    <w:rsid w:val="001F5C1F"/>
    <w:rsid w:val="00215E38"/>
    <w:rsid w:val="002169D7"/>
    <w:rsid w:val="00227D72"/>
    <w:rsid w:val="002779AB"/>
    <w:rsid w:val="00293280"/>
    <w:rsid w:val="002F53B8"/>
    <w:rsid w:val="002F75B2"/>
    <w:rsid w:val="003067D8"/>
    <w:rsid w:val="0033350F"/>
    <w:rsid w:val="00353B3F"/>
    <w:rsid w:val="00365915"/>
    <w:rsid w:val="00372AC0"/>
    <w:rsid w:val="00374196"/>
    <w:rsid w:val="00384A16"/>
    <w:rsid w:val="00387466"/>
    <w:rsid w:val="00395AB5"/>
    <w:rsid w:val="003E3705"/>
    <w:rsid w:val="00411C9F"/>
    <w:rsid w:val="00442153"/>
    <w:rsid w:val="004448D2"/>
    <w:rsid w:val="0047464B"/>
    <w:rsid w:val="004754CC"/>
    <w:rsid w:val="00483F63"/>
    <w:rsid w:val="004867EA"/>
    <w:rsid w:val="0049233D"/>
    <w:rsid w:val="00495788"/>
    <w:rsid w:val="004B6F57"/>
    <w:rsid w:val="004C0541"/>
    <w:rsid w:val="004E47E0"/>
    <w:rsid w:val="005007DF"/>
    <w:rsid w:val="00527B1E"/>
    <w:rsid w:val="00536E5D"/>
    <w:rsid w:val="0054380F"/>
    <w:rsid w:val="00584D18"/>
    <w:rsid w:val="00592B46"/>
    <w:rsid w:val="005C0352"/>
    <w:rsid w:val="005E7EB2"/>
    <w:rsid w:val="005F24E3"/>
    <w:rsid w:val="006002F2"/>
    <w:rsid w:val="006227DA"/>
    <w:rsid w:val="00661641"/>
    <w:rsid w:val="00665C7D"/>
    <w:rsid w:val="006A5423"/>
    <w:rsid w:val="006C21F8"/>
    <w:rsid w:val="006C4645"/>
    <w:rsid w:val="006D30A0"/>
    <w:rsid w:val="006E5C06"/>
    <w:rsid w:val="00703360"/>
    <w:rsid w:val="007267E3"/>
    <w:rsid w:val="00754A16"/>
    <w:rsid w:val="00792905"/>
    <w:rsid w:val="007B0CAA"/>
    <w:rsid w:val="00811948"/>
    <w:rsid w:val="00840AA5"/>
    <w:rsid w:val="008C3807"/>
    <w:rsid w:val="008C59CA"/>
    <w:rsid w:val="00923720"/>
    <w:rsid w:val="009249ED"/>
    <w:rsid w:val="00935B8D"/>
    <w:rsid w:val="00936C4F"/>
    <w:rsid w:val="00957A44"/>
    <w:rsid w:val="00964ADD"/>
    <w:rsid w:val="00986756"/>
    <w:rsid w:val="00995276"/>
    <w:rsid w:val="009C0788"/>
    <w:rsid w:val="009C43FC"/>
    <w:rsid w:val="009D2A77"/>
    <w:rsid w:val="009E32A0"/>
    <w:rsid w:val="009E5A33"/>
    <w:rsid w:val="00A10CC5"/>
    <w:rsid w:val="00A131A9"/>
    <w:rsid w:val="00A31034"/>
    <w:rsid w:val="00A32015"/>
    <w:rsid w:val="00A325E4"/>
    <w:rsid w:val="00A353C1"/>
    <w:rsid w:val="00A45479"/>
    <w:rsid w:val="00A46D03"/>
    <w:rsid w:val="00A5624A"/>
    <w:rsid w:val="00A71276"/>
    <w:rsid w:val="00A722D2"/>
    <w:rsid w:val="00A9042D"/>
    <w:rsid w:val="00A93798"/>
    <w:rsid w:val="00AA5F6F"/>
    <w:rsid w:val="00AB465E"/>
    <w:rsid w:val="00AD470F"/>
    <w:rsid w:val="00AE1D8A"/>
    <w:rsid w:val="00AE77FB"/>
    <w:rsid w:val="00AF3525"/>
    <w:rsid w:val="00AF587E"/>
    <w:rsid w:val="00B0608A"/>
    <w:rsid w:val="00B367BE"/>
    <w:rsid w:val="00B36BAD"/>
    <w:rsid w:val="00B43297"/>
    <w:rsid w:val="00B46CDC"/>
    <w:rsid w:val="00B4734E"/>
    <w:rsid w:val="00B54145"/>
    <w:rsid w:val="00B71553"/>
    <w:rsid w:val="00B730FE"/>
    <w:rsid w:val="00B757BD"/>
    <w:rsid w:val="00BD1648"/>
    <w:rsid w:val="00C12B51"/>
    <w:rsid w:val="00C3756F"/>
    <w:rsid w:val="00C5040D"/>
    <w:rsid w:val="00C64E26"/>
    <w:rsid w:val="00CB33A6"/>
    <w:rsid w:val="00CF2C8E"/>
    <w:rsid w:val="00CF7230"/>
    <w:rsid w:val="00D06FA3"/>
    <w:rsid w:val="00D44150"/>
    <w:rsid w:val="00D502C0"/>
    <w:rsid w:val="00D5508C"/>
    <w:rsid w:val="00D601C3"/>
    <w:rsid w:val="00D83E55"/>
    <w:rsid w:val="00D91EAB"/>
    <w:rsid w:val="00D9787E"/>
    <w:rsid w:val="00DA5EFF"/>
    <w:rsid w:val="00DB58D5"/>
    <w:rsid w:val="00DB64A7"/>
    <w:rsid w:val="00DC7647"/>
    <w:rsid w:val="00DD34DD"/>
    <w:rsid w:val="00E01F44"/>
    <w:rsid w:val="00E20478"/>
    <w:rsid w:val="00E32DB8"/>
    <w:rsid w:val="00E37B1D"/>
    <w:rsid w:val="00E76C33"/>
    <w:rsid w:val="00E94DCD"/>
    <w:rsid w:val="00EC096E"/>
    <w:rsid w:val="00ED119D"/>
    <w:rsid w:val="00EE0CB5"/>
    <w:rsid w:val="00EE28D7"/>
    <w:rsid w:val="00EE4868"/>
    <w:rsid w:val="00EF48EC"/>
    <w:rsid w:val="00EF5079"/>
    <w:rsid w:val="00F07475"/>
    <w:rsid w:val="00F108E3"/>
    <w:rsid w:val="00F22AED"/>
    <w:rsid w:val="00F32C68"/>
    <w:rsid w:val="00F40AFE"/>
    <w:rsid w:val="00F5617D"/>
    <w:rsid w:val="00F80C44"/>
    <w:rsid w:val="00FA2046"/>
    <w:rsid w:val="00FB08E7"/>
    <w:rsid w:val="00FE1331"/>
    <w:rsid w:val="00FE7FCB"/>
    <w:rsid w:val="00FF1FC1"/>
    <w:rsid w:val="07A88F85"/>
    <w:rsid w:val="15084040"/>
    <w:rsid w:val="167F3684"/>
    <w:rsid w:val="2AD52F02"/>
    <w:rsid w:val="759DDA3C"/>
    <w:rsid w:val="7ACD5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D8996"/>
  <w15:chartTrackingRefBased/>
  <w15:docId w15:val="{A0092E9A-CF8B-47C1-8CCB-30D68D1CE1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cs="Times New Roman" w:asciiTheme="minorHAnsi" w:hAnsiTheme="minorHAnsi" w:eastAsiaTheme="minorEastAsia"/>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uiPriority="19" w:semiHidden="1" w:unhideWhenUsed="1" w:qFormat="1"/>
    <w:lsdException w:name="heading 5" w:uiPriority="19" w:semiHidden="1" w:unhideWhenUsed="1" w:qFormat="1"/>
    <w:lsdException w:name="heading 6" w:uiPriority="19" w:semiHidden="1" w:unhideWhenUsed="1" w:qFormat="1"/>
    <w:lsdException w:name="heading 7" w:uiPriority="19" w:semiHidden="1" w:unhideWhenUsed="1" w:qFormat="1"/>
    <w:lsdException w:name="heading 8" w:uiPriority="19" w:semiHidden="1" w:unhideWhenUsed="1" w:qFormat="1"/>
    <w:lsdException w:name="heading 9" w:uiPriority="1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semiHidden="1" w:unhideWhenUsed="1"/>
    <w:lsdException w:name="toc 4" w:uiPriority="31" w:semiHidden="1" w:unhideWhenUsed="1"/>
    <w:lsdException w:name="toc 5" w:uiPriority="31" w:semiHidden="1" w:unhideWhenUsed="1"/>
    <w:lsdException w:name="toc 6" w:uiPriority="31" w:semiHidden="1" w:unhideWhenUsed="1"/>
    <w:lsdException w:name="toc 7" w:uiPriority="31" w:semiHidden="1" w:unhideWhenUsed="1"/>
    <w:lsdException w:name="toc 8" w:uiPriority="31" w:semiHidden="1" w:unhideWhenUsed="1"/>
    <w:lsdException w:name="toc 9" w:uiPriority="31" w:semiHidden="1" w:unhideWhenUsed="1"/>
    <w:lsdException w:name="Normal Indent" w:uiPriority="0" w:semiHidden="1" w:unhideWhenUsed="1"/>
    <w:lsdException w:name="footnote text" w:uiPriority="39" w:semiHidden="1" w:unhideWhenUsed="1"/>
    <w:lsdException w:name="annotation text" w:semiHidden="1" w:unhideWhenUsed="1"/>
    <w:lsdException w:name="header" w:uiPriority="39" w:semiHidden="1" w:unhideWhenUsed="1"/>
    <w:lsdException w:name="footer" w:uiPriority="10" w:semiHidden="1" w:unhideWhenUsed="1"/>
    <w:lsdException w:name="index heading" w:uiPriority="0" w:semiHidden="1" w:unhideWhenUsed="1"/>
    <w:lsdException w:name="caption" w:uiPriority="34"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39" w:semiHidden="1" w:unhideWhenUsed="1"/>
    <w:lsdException w:name="annotation reference" w:semiHidden="1" w:unhideWhenUsed="1"/>
    <w:lsdException w:name="line number" w:semiHidden="1" w:unhideWhenUsed="1"/>
    <w:lsdException w:name="page number" w:uiPriority="15" w:semiHidden="1" w:unhideWhenUsed="1"/>
    <w:lsdException w:name="endnote reference" w:uiPriority="39" w:semiHidden="1" w:unhideWhenUsed="1"/>
    <w:lsdException w:name="endnote text" w:uiPriority="3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semiHidden="1" w:unhideWhenUsed="1" w:qFormat="1"/>
    <w:lsdException w:name="Closing" w:uiPriority="0"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semiHidden="1" w:unhideWhenUsed="1"/>
    <w:lsdException w:name="Subtitle" w:uiPriority="0"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49"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FollowedHyperlink" w:uiPriority="36" w:semiHidden="1" w:unhideWhenUsed="1"/>
    <w:lsdException w:name="Strong" w:uiPriority="49" w:semiHidden="1" w:unhideWhenUsed="1" w:qFormat="1"/>
    <w:lsdException w:name="Emphasis" w:uiPriority="12"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semiHidden="1" w:unhideWhenUsed="1"/>
    <w:lsdException w:name="HTML Address" w:uiPriority="0" w:semiHidden="1" w:unhideWhenUsed="1"/>
    <w:lsdException w:name="HTML Cite" w:uiPriority="0" w:semiHidden="1" w:unhideWhenUsed="1"/>
    <w:lsdException w:name="HTML Code" w:uiPriority="0" w:semiHidden="1" w:unhideWhenUsed="1"/>
    <w:lsdException w:name="HTML Definition" w:uiPriority="0" w:semiHidden="1" w:unhideWhenUsed="1"/>
    <w:lsdException w:name="HTML Keyboard" w:uiPriority="0" w:semiHidden="1" w:unhideWhenUsed="1"/>
    <w:lsdException w:name="HTML Preformatted" w:uiPriority="0" w:semiHidden="1" w:unhideWhenUsed="1"/>
    <w:lsdException w:name="HTML Sample" w:uiPriority="0" w:semiHidden="1" w:unhideWhenUsed="1"/>
    <w:lsdException w:name="HTML Typewriter" w:uiPriority="0" w:semiHidden="1" w:unhideWhenUsed="1"/>
    <w:lsdException w:name="HTML Variable" w:uiPriority="0" w:semiHidden="1" w:unhideWhenUsed="1"/>
    <w:lsdException w:name="Normal Table" w:semiHidden="1" w:unhideWhenUsed="1"/>
    <w:lsdException w:name="annotation subject" w:semiHidden="1" w:unhideWhenUsed="1"/>
    <w:lsdException w:name="No List" w:semiHidden="1" w:unhideWhenUsed="1"/>
    <w:lsdException w:name="Outline List 1" w:uiPriority="0"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uiPriority="0" w:semiHidden="1" w:unhideWhenUsed="1"/>
    <w:lsdException w:name="Table Classic 2" w:uiPriority="0" w:semiHidden="1" w:unhideWhenUsed="1"/>
    <w:lsdException w:name="Table Classic 3" w:uiPriority="0"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uiPriority="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uiPriority="0" w:semiHidden="1" w:unhideWhenUsed="1"/>
    <w:lsdException w:name="Table 3D effects 2" w:uiPriority="0" w:semiHidden="1" w:unhideWhenUsed="1"/>
    <w:lsdException w:name="Table 3D effects 3" w:uiPriority="0" w:semiHidden="1" w:unhideWhenUsed="1"/>
    <w:lsdException w:name="Table Contemporary" w:uiPriority="0" w:semiHidden="1" w:unhideWhenUsed="1"/>
    <w:lsdException w:name="Table Elegant" w:uiPriority="0"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semiHidden="1" w:unhideWhenUsed="1" w:qFormat="1"/>
    <w:lsdException w:name="Intense Reference" w:semiHidden="1" w:unhideWhenUsed="1" w:qFormat="1"/>
    <w:lsdException w:name="Book Title" w:semiHidden="1" w:unhideWhenUsed="1" w:qFormat="1"/>
    <w:lsdException w:name="Bibliography" w:uiPriority="33"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5C1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cs="Arial" w:asciiTheme="majorHAnsi" w:hAnsiTheme="majorHAnsi"/>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cs="Arial" w:asciiTheme="majorHAnsi" w:hAnsiTheme="majorHAnsi"/>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cs="Arial" w:asciiTheme="majorHAnsi" w:hAnsiTheme="majorHAnsi"/>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14"/>
    <w:unhideWhenUsed/>
    <w:rsid w:val="00DB58D5"/>
  </w:style>
  <w:style w:type="character" w:styleId="HeaderChar" w:customStyle="1">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styleId="FooterChar" w:customStyle="1">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styleId="BasisTabelle" w:customStyle="1">
    <w:name w:val="Basis Tabelle"/>
    <w:basedOn w:val="TableNormal"/>
    <w:rsid w:val="000B2869"/>
    <w:rPr>
      <w:lang w:eastAsia="de-CH"/>
    </w:rPr>
    <w:tblPr>
      <w:tblStyleRowBandSize w:val="1"/>
      <w:tblBorders>
        <w:bottom w:val="single" w:color="808080" w:sz="2" w:space="0"/>
        <w:insideH w:val="single" w:color="808080" w:sz="2" w:space="0"/>
      </w:tblBorders>
      <w:tblCellMar>
        <w:top w:w="57" w:type="dxa"/>
        <w:left w:w="57" w:type="dxa"/>
        <w:bottom w:w="57" w:type="dxa"/>
        <w:right w:w="57" w:type="dxa"/>
      </w:tblCellMar>
    </w:tblPr>
    <w:tblStylePr w:type="firstRow">
      <w:rPr>
        <w:rFonts w:asciiTheme="majorHAnsi" w:hAnsiTheme="majorHAnsi"/>
        <w:b w:val="0"/>
      </w:rPr>
      <w:tblPr/>
      <w:tcPr>
        <w:tcBorders>
          <w:bottom w:val="single" w:color="808080" w:sz="4" w:space="0"/>
        </w:tcBorders>
      </w:tcPr>
    </w:tblStylePr>
    <w:tblStylePr w:type="band1Horz">
      <w:tblPr/>
      <w:tcPr>
        <w:tcBorders>
          <w:bottom w:val="single" w:color="808080" w:sz="4" w:space="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hAnchor="text" w:v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styleId="BulletpointsEbene1" w:customStyl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styleId="BulletpointsEbene2" w:customStyle="1">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styleId="DocumentMapChar" w:customStyle="1">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styleId="ClosingChar" w:customStyle="1">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styleId="HTMLAddressChar" w:customStyle="1">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styleId="HTMLPreformattedChar" w:customStyle="1">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character" w:styleId="MessageHeaderChar" w:customStyle="1">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Colorful1">
    <w:name w:val="Table Colorful 1"/>
    <w:basedOn w:val="TableNormal"/>
    <w:semiHidden/>
    <w:rsid w:val="00E94DCD"/>
    <w:rPr>
      <w:rFonts w:ascii="Arial" w:hAnsi="Arial"/>
      <w:color w:val="FFFFFF"/>
      <w:lang w:eastAsia="de-CH"/>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E94DCD"/>
    <w:rPr>
      <w:rFonts w:ascii="Arial" w:hAnsi="Arial"/>
      <w:lang w:eastAsia="de-CH"/>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E94DCD"/>
    <w:rPr>
      <w:rFonts w:ascii="Arial" w:hAnsi="Arial"/>
      <w:lang w:eastAsia="de-CH"/>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E94DCD"/>
    <w:rPr>
      <w:rFonts w:ascii="Arial" w:hAnsi="Arial"/>
      <w:color w:val="000080"/>
      <w:lang w:eastAsia="de-CH"/>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E94DCD"/>
    <w:rPr>
      <w:rFonts w:ascii="Arial" w:hAnsi="Arial"/>
      <w:lang w:eastAsia="de-CH"/>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Grid">
    <w:name w:val="Table Grid"/>
    <w:basedOn w:val="TableNormal"/>
    <w:uiPriority w:val="59"/>
    <w:rsid w:val="00DB58D5"/>
    <w:rPr>
      <w:lang w:eastAsia="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styleId="TitleChar" w:customStyle="1">
    <w:name w:val="Title Char"/>
    <w:link w:val="Title"/>
    <w:uiPriority w:val="1"/>
    <w:semiHidden/>
    <w:rsid w:val="001E1FA7"/>
    <w:rPr>
      <w:rFonts w:ascii="Arial Fett" w:hAnsi="Arial Fett" w:cs="Times New Roman"/>
      <w:b/>
      <w:bCs/>
      <w:smallCaps/>
      <w:sz w:val="32"/>
      <w:szCs w:val="32"/>
    </w:rPr>
  </w:style>
  <w:style w:type="character" w:styleId="Heading1Char" w:customStyle="1">
    <w:name w:val="Heading 1 Char"/>
    <w:link w:val="Heading1"/>
    <w:uiPriority w:val="19"/>
    <w:rsid w:val="002779AB"/>
    <w:rPr>
      <w:rFonts w:cs="Arial" w:asciiTheme="majorHAnsi" w:hAnsiTheme="majorHAnsi"/>
      <w:bCs/>
      <w:sz w:val="28"/>
      <w:szCs w:val="28"/>
      <w:lang w:eastAsia="de-DE"/>
    </w:rPr>
  </w:style>
  <w:style w:type="character" w:styleId="Heading2Char" w:customStyle="1">
    <w:name w:val="Heading 2 Char"/>
    <w:link w:val="Heading2"/>
    <w:uiPriority w:val="19"/>
    <w:rsid w:val="002779AB"/>
    <w:rPr>
      <w:rFonts w:cs="Arial" w:asciiTheme="majorHAnsi" w:hAnsiTheme="majorHAnsi"/>
      <w:bCs/>
      <w:sz w:val="24"/>
      <w:szCs w:val="24"/>
      <w:lang w:eastAsia="de-DE"/>
    </w:rPr>
  </w:style>
  <w:style w:type="character" w:styleId="Heading3Char" w:customStyle="1">
    <w:name w:val="Heading 3 Char"/>
    <w:link w:val="Heading3"/>
    <w:uiPriority w:val="19"/>
    <w:rsid w:val="002779AB"/>
    <w:rPr>
      <w:rFonts w:cs="Arial" w:asciiTheme="majorHAnsi" w:hAnsiTheme="majorHAnsi"/>
      <w:szCs w:val="18"/>
      <w:lang w:eastAsia="de-DE"/>
    </w:rPr>
  </w:style>
  <w:style w:type="character" w:styleId="Heading4Char" w:customStyle="1">
    <w:name w:val="Heading 4 Char"/>
    <w:link w:val="Heading4"/>
    <w:uiPriority w:val="19"/>
    <w:rsid w:val="009E5A33"/>
    <w:rPr>
      <w:rFonts w:cs="Arial"/>
      <w:szCs w:val="18"/>
      <w:lang w:eastAsia="de-DE"/>
    </w:rPr>
  </w:style>
  <w:style w:type="character" w:styleId="Heading5Char" w:customStyle="1">
    <w:name w:val="Heading 5 Char"/>
    <w:link w:val="Heading5"/>
    <w:uiPriority w:val="19"/>
    <w:rsid w:val="000B2869"/>
    <w:rPr>
      <w:rFonts w:cs="Arial"/>
      <w:szCs w:val="18"/>
      <w:lang w:eastAsia="de-DE"/>
    </w:rPr>
  </w:style>
  <w:style w:type="character" w:styleId="Heading6Char" w:customStyle="1">
    <w:name w:val="Heading 6 Char"/>
    <w:link w:val="Heading6"/>
    <w:uiPriority w:val="19"/>
    <w:semiHidden/>
    <w:rsid w:val="001E1FA7"/>
    <w:rPr>
      <w:bCs/>
      <w:sz w:val="18"/>
      <w:lang w:eastAsia="de-DE"/>
    </w:rPr>
  </w:style>
  <w:style w:type="character" w:styleId="Heading7Char" w:customStyle="1">
    <w:name w:val="Heading 7 Char"/>
    <w:link w:val="Heading7"/>
    <w:uiPriority w:val="19"/>
    <w:semiHidden/>
    <w:rsid w:val="001E1FA7"/>
    <w:rPr>
      <w:sz w:val="18"/>
      <w:szCs w:val="24"/>
      <w:lang w:eastAsia="de-DE"/>
    </w:rPr>
  </w:style>
  <w:style w:type="character" w:styleId="Heading8Char" w:customStyle="1">
    <w:name w:val="Heading 8 Char"/>
    <w:link w:val="Heading8"/>
    <w:uiPriority w:val="19"/>
    <w:semiHidden/>
    <w:rsid w:val="001E1FA7"/>
    <w:rPr>
      <w:iCs/>
      <w:sz w:val="18"/>
      <w:szCs w:val="24"/>
      <w:lang w:eastAsia="de-DE"/>
    </w:rPr>
  </w:style>
  <w:style w:type="character" w:styleId="Heading9Char" w:customStyle="1">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styleId="SubtitleChar" w:customStyle="1">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styleId="FusszeilePfad" w:customStyle="1">
    <w:name w:val="Fusszeile Pfad"/>
    <w:basedOn w:val="Footer"/>
    <w:uiPriority w:val="9"/>
    <w:rsid w:val="00DB58D5"/>
    <w:pPr>
      <w:jc w:val="center"/>
    </w:pPr>
  </w:style>
  <w:style w:type="paragraph" w:styleId="BulletpointsLevel1" w:customStyle="1">
    <w:name w:val="Bulletpoints Level 1"/>
    <w:basedOn w:val="Normal"/>
    <w:uiPriority w:val="3"/>
    <w:qFormat/>
    <w:rsid w:val="00E37B1D"/>
    <w:pPr>
      <w:numPr>
        <w:numId w:val="5"/>
      </w:numPr>
      <w:tabs>
        <w:tab w:val="right" w:pos="454"/>
      </w:tabs>
      <w:spacing w:before="60"/>
    </w:pPr>
  </w:style>
  <w:style w:type="paragraph" w:styleId="BulletpointsLevel2" w:customStyle="1">
    <w:name w:val="Bulletpoints Level 2"/>
    <w:basedOn w:val="Normal"/>
    <w:uiPriority w:val="4"/>
    <w:qFormat/>
    <w:rsid w:val="00DB58D5"/>
    <w:pPr>
      <w:numPr>
        <w:ilvl w:val="1"/>
        <w:numId w:val="5"/>
      </w:numPr>
    </w:pPr>
  </w:style>
  <w:style w:type="paragraph" w:styleId="Lettering" w:customStyle="1">
    <w:name w:val="Lettering"/>
    <w:basedOn w:val="Normal"/>
    <w:uiPriority w:val="5"/>
    <w:qFormat/>
    <w:rsid w:val="00DB58D5"/>
    <w:pPr>
      <w:numPr>
        <w:numId w:val="11"/>
      </w:numPr>
      <w:spacing w:before="60"/>
    </w:pPr>
  </w:style>
  <w:style w:type="paragraph" w:styleId="noBulletpoint" w:customStyle="1">
    <w:name w:val="noBulletpoint"/>
    <w:basedOn w:val="Normal"/>
    <w:uiPriority w:val="4"/>
    <w:qFormat/>
    <w:rsid w:val="00DB58D5"/>
    <w:pPr>
      <w:numPr>
        <w:ilvl w:val="2"/>
        <w:numId w:val="5"/>
      </w:numPr>
      <w:spacing w:before="60"/>
    </w:pPr>
  </w:style>
  <w:style w:type="paragraph" w:styleId="Numbering" w:customStyle="1">
    <w:name w:val="Numbering"/>
    <w:basedOn w:val="Normal"/>
    <w:uiPriority w:val="6"/>
    <w:qFormat/>
    <w:rsid w:val="00DB58D5"/>
    <w:pPr>
      <w:numPr>
        <w:numId w:val="10"/>
      </w:numPr>
      <w:spacing w:before="60"/>
    </w:pPr>
  </w:style>
  <w:style w:type="paragraph" w:styleId="SensirionSubtitle" w:customStyle="1">
    <w:name w:val="Sensirion Subtitle"/>
    <w:basedOn w:val="Normal"/>
    <w:uiPriority w:val="2"/>
    <w:qFormat/>
    <w:rsid w:val="002779AB"/>
    <w:pPr>
      <w:spacing w:line="260" w:lineRule="exact"/>
      <w:contextualSpacing/>
    </w:pPr>
    <w:rPr>
      <w:rFonts w:asciiTheme="majorHAnsi" w:hAnsiTheme="majorHAnsi"/>
      <w:lang w:eastAsia="de-DE"/>
    </w:rPr>
  </w:style>
  <w:style w:type="paragraph" w:styleId="SensirionTitle" w:customStyle="1">
    <w:name w:val="Sensirion Title"/>
    <w:basedOn w:val="Normal"/>
    <w:uiPriority w:val="1"/>
    <w:qFormat/>
    <w:rsid w:val="002779AB"/>
    <w:pPr>
      <w:spacing w:line="320" w:lineRule="exact"/>
      <w:contextualSpacing/>
    </w:pPr>
    <w:rPr>
      <w:rFonts w:asciiTheme="majorHAnsi" w:hAnsiTheme="majorHAnsi"/>
      <w:sz w:val="28"/>
    </w:rPr>
  </w:style>
  <w:style w:type="paragraph" w:styleId="Marginale" w:customStyle="1">
    <w:name w:val="Marginale"/>
    <w:basedOn w:val="Normal"/>
    <w:uiPriority w:val="7"/>
    <w:qFormat/>
    <w:rsid w:val="001665A6"/>
    <w:pPr>
      <w:framePr w:w="2268" w:hSpace="567" w:wrap="around" w:hAnchor="text" w:vAnchor="text" w:xAlign="right" w:y="1"/>
    </w:pPr>
    <w:rPr>
      <w:color w:val="66CC33" w:themeColor="accent1"/>
    </w:rPr>
  </w:style>
  <w:style w:type="paragraph" w:styleId="MarginaleText" w:customStyle="1">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styleId="QuoteChar" w:customStyle="1">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styleId="EndnoteTextChar" w:customStyle="1">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styleId="FootnoteTextChar" w:customStyle="1">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color="C8BBBB" w:sz="8" w:space="0"/>
        <w:bottom w:val="single" w:color="C8BBBB" w:sz="8" w:space="0"/>
      </w:tblBorders>
      <w:tblCellMar>
        <w:top w:w="28" w:type="dxa"/>
        <w:left w:w="0" w:type="dxa"/>
        <w:bottom w:w="28" w:type="dxa"/>
        <w:right w:w="0" w:type="dxa"/>
      </w:tblCellMar>
    </w:tblPr>
    <w:tblStylePr w:type="firstRow">
      <w:pPr>
        <w:spacing w:before="0" w:after="0" w:line="240" w:lineRule="auto"/>
      </w:pPr>
      <w:rPr>
        <w:b/>
        <w:bCs/>
      </w:rPr>
      <w:tblPr/>
      <w:tcPr>
        <w:tcBorders>
          <w:top w:val="single" w:color="C8BBBB" w:sz="8" w:space="0"/>
          <w:left w:val="nil"/>
          <w:bottom w:val="single" w:color="C8BBBB" w:sz="8" w:space="0"/>
          <w:right w:val="nil"/>
          <w:insideH w:val="nil"/>
          <w:insideV w:val="nil"/>
        </w:tcBorders>
      </w:tcPr>
    </w:tblStylePr>
    <w:tblStylePr w:type="lastRow">
      <w:pPr>
        <w:spacing w:before="0" w:after="0" w:line="240" w:lineRule="auto"/>
      </w:pPr>
      <w:rPr>
        <w:b w:val="0"/>
        <w:bCs/>
      </w:rPr>
      <w:tblPr/>
      <w:tcPr>
        <w:tcBorders>
          <w:top w:val="nil"/>
          <w:left w:val="nil"/>
          <w:bottom w:val="single" w:color="C8BBBB" w:sz="8" w:space="0"/>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color="EBE6E6" w:sz="8" w:space="0"/>
        <w:bottom w:val="single" w:color="EBE6E6" w:sz="8" w:space="0"/>
      </w:tblBorders>
    </w:tblPr>
    <w:tblStylePr w:type="firstRow">
      <w:rPr>
        <w:rFonts w:ascii="Arial Narrow" w:hAnsi="Arial Narrow" w:eastAsia="Times New Roman" w:cs="Times New Roman"/>
      </w:rPr>
      <w:tblPr/>
      <w:tcPr>
        <w:tcBorders>
          <w:top w:val="nil"/>
          <w:bottom w:val="single" w:color="EBE6E6" w:sz="8" w:space="0"/>
        </w:tcBorders>
      </w:tcPr>
    </w:tblStylePr>
    <w:tblStylePr w:type="lastRow">
      <w:rPr>
        <w:b/>
        <w:bCs/>
        <w:color w:val="000000"/>
      </w:rPr>
      <w:tblPr/>
      <w:tcPr>
        <w:tcBorders>
          <w:top w:val="single" w:color="EBE6E6" w:sz="8" w:space="0"/>
          <w:bottom w:val="single" w:color="EBE6E6" w:sz="8" w:space="0"/>
        </w:tcBorders>
      </w:tcPr>
    </w:tblStylePr>
    <w:tblStylePr w:type="firstCol">
      <w:rPr>
        <w:b/>
        <w:bCs/>
      </w:rPr>
    </w:tblStylePr>
    <w:tblStylePr w:type="lastCol">
      <w:rPr>
        <w:b/>
        <w:bCs/>
      </w:rPr>
      <w:tblPr/>
      <w:tcPr>
        <w:tcBorders>
          <w:top w:val="single" w:color="EBE6E6" w:sz="8" w:space="0"/>
          <w:bottom w:val="single" w:color="EBE6E6" w:sz="8" w:space="0"/>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styleId="SensirionListealt" w:customStyle="1">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styleId="BalloonTextChar" w:customStyle="1">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styleId="SensirionListBulletPoints" w:customStyle="1">
    <w:name w:val="Sensirion List Bullet Points"/>
    <w:uiPriority w:val="99"/>
    <w:rsid w:val="00C3756F"/>
    <w:pPr>
      <w:numPr>
        <w:numId w:val="5"/>
      </w:numPr>
    </w:pPr>
  </w:style>
  <w:style w:type="numbering" w:styleId="SensirionList123Heading" w:customStyle="1">
    <w:name w:val="Sensirion List 123 Heading"/>
    <w:uiPriority w:val="99"/>
    <w:rsid w:val="00A93798"/>
    <w:pPr>
      <w:numPr>
        <w:numId w:val="7"/>
      </w:numPr>
    </w:pPr>
  </w:style>
  <w:style w:type="numbering" w:styleId="SensirionList123Numbering" w:customStyle="1">
    <w:name w:val="Sensirion List 123 Numbering"/>
    <w:uiPriority w:val="99"/>
    <w:rsid w:val="000903CE"/>
    <w:pPr>
      <w:numPr>
        <w:numId w:val="10"/>
      </w:numPr>
    </w:pPr>
  </w:style>
  <w:style w:type="numbering" w:styleId="SensirionListabcLettering" w:customStyle="1">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1F5C1F"/>
    <w:pPr>
      <w:pBdr>
        <w:top w:val="single" w:color="4C9826" w:themeColor="accent1" w:themeShade="BF" w:sz="4" w:space="10"/>
        <w:bottom w:val="single" w:color="4C9826" w:themeColor="accent1" w:themeShade="BF" w:sz="4" w:space="10"/>
      </w:pBdr>
      <w:spacing w:before="360" w:after="360"/>
      <w:ind w:left="864" w:right="864"/>
      <w:jc w:val="center"/>
    </w:pPr>
    <w:rPr>
      <w:i/>
      <w:iCs/>
      <w:color w:val="4C9826" w:themeColor="accent1" w:themeShade="BF"/>
    </w:rPr>
  </w:style>
  <w:style w:type="character" w:styleId="IntenseQuoteChar" w:customStyle="1">
    <w:name w:val="Intense Quote Char"/>
    <w:basedOn w:val="DefaultParagraphFont"/>
    <w:link w:val="IntenseQuote"/>
    <w:uiPriority w:val="99"/>
    <w:semiHidden/>
    <w:rsid w:val="001F5C1F"/>
    <w:rPr>
      <w:i/>
      <w:iCs/>
      <w:color w:val="4C9826" w:themeColor="accent1" w:themeShade="BF"/>
    </w:rPr>
  </w:style>
  <w:style w:type="character" w:styleId="IntenseReference">
    <w:name w:val="Intense Reference"/>
    <w:basedOn w:val="DefaultParagraphFont"/>
    <w:uiPriority w:val="99"/>
    <w:semiHidden/>
    <w:unhideWhenUsed/>
    <w:qFormat/>
    <w:rsid w:val="001F5C1F"/>
    <w:rPr>
      <w:b/>
      <w:bCs/>
      <w:smallCaps/>
      <w:color w:val="4C9826" w:themeColor="accent1" w:themeShade="BF"/>
      <w:spacing w:val="5"/>
    </w:rPr>
  </w:style>
  <w:style w:type="character" w:styleId="CommentReference">
    <w:name w:val="Comment Reference"/>
    <w:basedOn w:val="DefaultParagraphFont"/>
    <w:uiPriority w:val="99"/>
    <w:semiHidden/>
    <w:unhideWhenUsed/>
    <w:rsid w:val="001F5C1F"/>
    <w:rPr>
      <w:sz w:val="16"/>
      <w:szCs w:val="16"/>
    </w:rPr>
  </w:style>
  <w:style w:type="paragraph" w:styleId="CommentText">
    <w:name w:val="Comment Text"/>
    <w:basedOn w:val="Normal"/>
    <w:link w:val="CommentTextChar"/>
    <w:uiPriority w:val="99"/>
    <w:unhideWhenUsed/>
    <w:rsid w:val="001F5C1F"/>
    <w:pPr>
      <w:spacing w:line="240" w:lineRule="auto"/>
    </w:pPr>
  </w:style>
  <w:style w:type="character" w:styleId="CommentTextChar" w:customStyle="1">
    <w:name w:val="Comment Text Char"/>
    <w:basedOn w:val="DefaultParagraphFont"/>
    <w:link w:val="CommentText"/>
    <w:uiPriority w:val="99"/>
    <w:rsid w:val="001F5C1F"/>
  </w:style>
  <w:style w:type="paragraph" w:styleId="Revision">
    <w:name w:val="Revision"/>
    <w:hidden/>
    <w:uiPriority w:val="99"/>
    <w:semiHidden/>
    <w:rsid w:val="00B46CDC"/>
  </w:style>
  <w:style w:type="paragraph" w:styleId="CommentSubject">
    <w:name w:val="Comment Subject"/>
    <w:basedOn w:val="CommentText"/>
    <w:next w:val="CommentText"/>
    <w:link w:val="CommentSubjectChar"/>
    <w:uiPriority w:val="99"/>
    <w:semiHidden/>
    <w:unhideWhenUsed/>
    <w:rsid w:val="00191908"/>
    <w:rPr>
      <w:b/>
      <w:bCs/>
    </w:rPr>
  </w:style>
  <w:style w:type="character" w:styleId="CommentSubjectChar" w:customStyle="1">
    <w:name w:val="Comment Subject Char"/>
    <w:basedOn w:val="CommentTextChar"/>
    <w:link w:val="CommentSubject"/>
    <w:uiPriority w:val="99"/>
    <w:semiHidden/>
    <w:rsid w:val="001919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customXml" Target="../customXml/item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4.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sensirion.com" TargetMode="External" Id="rId11" /><Relationship Type="http://schemas.openxmlformats.org/officeDocument/2006/relationships/webSettings" Target="webSettings.xml" Id="rId5" /><Relationship Type="http://schemas.openxmlformats.org/officeDocument/2006/relationships/footer" Target="footer2.xml" Id="rId15" /><Relationship Type="http://schemas.openxmlformats.org/officeDocument/2006/relationships/hyperlink" Target="https://sensirion.com/de/produkte/vertriebspartner" TargetMode="External" Id="rId10" /><Relationship Type="http://schemas.openxmlformats.org/officeDocument/2006/relationships/customXml" Target="../customXml/item3.xml" Id="rId19" /><Relationship Type="http://schemas.openxmlformats.org/officeDocument/2006/relationships/settings" Target="settings.xml" Id="rId4" /><Relationship Type="http://schemas.openxmlformats.org/officeDocument/2006/relationships/hyperlink" Target="https://sensirion.com/products/catalog/SEN62" TargetMode="External" Id="rId9" /><Relationship Type="http://schemas.openxmlformats.org/officeDocument/2006/relationships/header" Target="header2.xml" Id="rId14" /><Relationship Type="http://schemas.openxmlformats.org/officeDocument/2006/relationships/image" Target="/media/image2.png" Id="rId439108882"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xmlns:thm15="http://schemas.microsoft.com/office/thememl/2012/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878264E3-5EA6-4F3E-9434-F15A916034FD}"/>
</file>

<file path=customXml/itemProps3.xml><?xml version="1.0" encoding="utf-8"?>
<ds:datastoreItem xmlns:ds="http://schemas.openxmlformats.org/officeDocument/2006/customXml" ds:itemID="{C9482A59-4F77-46A9-88F3-CDC58A272C7C}"/>
</file>

<file path=customXml/itemProps4.xml><?xml version="1.0" encoding="utf-8"?>
<ds:datastoreItem xmlns:ds="http://schemas.openxmlformats.org/officeDocument/2006/customXml" ds:itemID="{11F180E6-0B48-4A8C-9C28-2EB295EBF6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Kim Ceresola</lastModifiedBy>
  <revision>3</revision>
  <dcterms:created xsi:type="dcterms:W3CDTF">2026-03-31T08:56:00.0000000Z</dcterms:created>
  <dcterms:modified xsi:type="dcterms:W3CDTF">2026-04-20T07:24:00.7875749Z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2026-03-31T08:56:05Z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7b823426-75d5-4e72-94b4-6c80a12bc2a4</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y fmtid="{D5CDD505-2E9C-101B-9397-08002B2CF9AE}" pid="10" name="ContentTypeId">
    <vt:lpwstr>0x010100F886A1874FE21B44BAD3A316A1A6FBD9</vt:lpwstr>
  </property>
  <property fmtid="{D5CDD505-2E9C-101B-9397-08002B2CF9AE}" pid="12" name="docLang">
    <vt:lpwstr>de</vt:lpwstr>
  </property>
  <property fmtid="{D5CDD505-2E9C-101B-9397-08002B2CF9AE}" pid="13" name="MediaServiceImageTags">
    <vt:lpwstr/>
  </property>
</Properties>
</file>